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Verdana" w:hAnsi="Verdana"/>
        </w:rPr>
      </w:pPr>
      <w:r>
        <w:rPr>
          <w:rFonts w:ascii="Verdana" w:hAnsi="Verdana"/>
        </w:rPr>
      </w:r>
    </w:p>
    <w:p>
      <w:pPr>
        <w:pStyle w:val="Normal"/>
        <w:rPr>
          <w:rFonts w:ascii="Verdana" w:hAnsi="Verdana"/>
        </w:rPr>
      </w:pPr>
      <w:r>
        <w:rPr>
          <w:rFonts w:ascii="Verdana" w:hAnsi="Verdana"/>
        </w:rPr>
      </w:r>
    </w:p>
    <w:p>
      <w:pPr>
        <w:pStyle w:val="Normal"/>
        <w:jc w:val="center"/>
        <w:rPr>
          <w:rFonts w:ascii="Verdana" w:hAnsi="Verdana" w:eastAsia="Comic Sans MS" w:cs="Comic Sans MS"/>
          <w:color w:val="595959"/>
          <w:sz w:val="12"/>
          <w:szCs w:val="12"/>
        </w:rPr>
      </w:pPr>
      <w:r>
        <w:rPr>
          <w:rFonts w:ascii="Verdana" w:hAnsi="Verdana"/>
        </w:rPr>
        <w:t xml:space="preserve">  </w:t>
      </w:r>
      <w:r>
        <w:rPr/>
        <w:drawing>
          <wp:inline distT="0" distB="0" distL="0" distR="0">
            <wp:extent cx="4549140" cy="75057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4549140" cy="750570"/>
                    </a:xfrm>
                    <a:prstGeom prst="rect">
                      <a:avLst/>
                    </a:prstGeom>
                  </pic:spPr>
                </pic:pic>
              </a:graphicData>
            </a:graphic>
          </wp:inline>
        </w:drawing>
      </w:r>
    </w:p>
    <w:p>
      <w:pPr>
        <w:pStyle w:val="Normal"/>
        <w:jc w:val="center"/>
        <w:rPr>
          <w:rFonts w:ascii="Verdana" w:hAnsi="Verdana" w:eastAsia="Comic Sans MS" w:cs="Comic Sans MS"/>
          <w:color w:val="595959"/>
          <w:sz w:val="12"/>
          <w:szCs w:val="12"/>
        </w:rPr>
      </w:pPr>
      <w:r>
        <w:rPr>
          <w:rFonts w:eastAsia="Comic Sans MS" w:cs="Comic Sans MS" w:ascii="Verdana" w:hAnsi="Verdana"/>
          <w:color w:val="595959"/>
          <w:sz w:val="12"/>
          <w:szCs w:val="12"/>
        </w:rPr>
        <w:t>MINISTERO DELL’ISTRUZIONE E DEL MERITO</w:t>
      </w:r>
    </w:p>
    <w:p>
      <w:pPr>
        <w:pStyle w:val="Normal"/>
        <w:jc w:val="center"/>
        <w:rPr>
          <w:rFonts w:ascii="Verdana" w:hAnsi="Verdana" w:eastAsia="Comic Sans MS" w:cs="Comic Sans MS"/>
          <w:color w:val="595959"/>
          <w:sz w:val="12"/>
          <w:szCs w:val="12"/>
        </w:rPr>
      </w:pPr>
      <w:r>
        <w:rPr>
          <w:rFonts w:eastAsia="Comic Sans MS" w:cs="Comic Sans MS" w:ascii="Verdana" w:hAnsi="Verdana"/>
          <w:color w:val="595959"/>
          <w:sz w:val="12"/>
          <w:szCs w:val="12"/>
        </w:rPr>
        <w:t>UFFICIO SCOLASTICO REGIONALE PER LA SICILIA</w:t>
      </w:r>
    </w:p>
    <w:p>
      <w:pPr>
        <w:pStyle w:val="Normal"/>
        <w:keepNext w:val="true"/>
        <w:numPr>
          <w:ilvl w:val="1"/>
          <w:numId w:val="1"/>
        </w:numPr>
        <w:tabs>
          <w:tab w:val="clear" w:pos="708"/>
          <w:tab w:val="left" w:pos="0" w:leader="none"/>
        </w:tabs>
        <w:spacing w:lineRule="auto" w:line="252"/>
        <w:jc w:val="center"/>
        <w:rPr>
          <w:rFonts w:ascii="Verdana" w:hAnsi="Verdana" w:eastAsia="Comic Sans MS" w:cs="Comic Sans MS"/>
          <w:b/>
          <w:b/>
          <w:color w:val="595959"/>
          <w:sz w:val="12"/>
          <w:szCs w:val="12"/>
        </w:rPr>
      </w:pPr>
      <w:r>
        <w:rPr>
          <w:rFonts w:eastAsia="Comic Sans MS" w:cs="Comic Sans MS" w:ascii="Verdana" w:hAnsi="Verdana"/>
          <w:color w:val="595959"/>
          <w:sz w:val="12"/>
          <w:szCs w:val="12"/>
        </w:rPr>
        <w:t>ISTITUTO STATALE  “PASCASINO”</w:t>
      </w:r>
    </w:p>
    <w:p>
      <w:pPr>
        <w:pStyle w:val="Normal"/>
        <w:jc w:val="center"/>
        <w:rPr>
          <w:rFonts w:ascii="Verdana" w:hAnsi="Verdana" w:eastAsia="Comic Sans MS" w:cs="Comic Sans MS"/>
          <w:color w:val="595959"/>
          <w:sz w:val="12"/>
          <w:szCs w:val="12"/>
        </w:rPr>
      </w:pPr>
      <w:r>
        <w:rPr>
          <w:rFonts w:eastAsia="Comic Sans MS" w:cs="Comic Sans MS" w:ascii="Verdana" w:hAnsi="Verdana"/>
          <w:color w:val="595959"/>
          <w:sz w:val="12"/>
          <w:szCs w:val="12"/>
        </w:rPr>
        <w:t>Via Vaccari  n. 5 - Marsala - Tel.0923/1928988</w:t>
      </w:r>
    </w:p>
    <w:p>
      <w:pPr>
        <w:pStyle w:val="Normal"/>
        <w:ind w:left="360" w:hanging="0"/>
        <w:jc w:val="center"/>
        <w:rPr>
          <w:rFonts w:ascii="Verdana" w:hAnsi="Verdana" w:eastAsia="Comic Sans MS" w:cs="Comic Sans MS"/>
          <w:color w:val="595959"/>
          <w:sz w:val="12"/>
          <w:szCs w:val="12"/>
        </w:rPr>
      </w:pPr>
      <w:bookmarkStart w:id="0" w:name="_2et92p0"/>
      <w:bookmarkStart w:id="1" w:name="gjdgxs"/>
      <w:bookmarkStart w:id="2" w:name="3znysh7"/>
      <w:bookmarkStart w:id="3" w:name="1fob9te"/>
      <w:bookmarkStart w:id="4" w:name="30j0zll"/>
      <w:bookmarkEnd w:id="0"/>
      <w:bookmarkEnd w:id="1"/>
      <w:bookmarkEnd w:id="2"/>
      <w:bookmarkEnd w:id="3"/>
      <w:bookmarkEnd w:id="4"/>
      <w:r>
        <w:rPr>
          <w:rFonts w:eastAsia="Comic Sans MS" w:cs="Comic Sans MS" w:ascii="Verdana" w:hAnsi="Verdana"/>
          <w:color w:val="595959"/>
          <w:sz w:val="12"/>
          <w:szCs w:val="12"/>
        </w:rPr>
        <w:t>Cod. Meccanografico TPPM03000Q - Cod.Fiscale e P.IVA 82004490817</w:t>
      </w:r>
    </w:p>
    <w:p>
      <w:pPr>
        <w:pStyle w:val="Normal"/>
        <w:jc w:val="center"/>
        <w:rPr>
          <w:rFonts w:ascii="Verdana" w:hAnsi="Verdana"/>
        </w:rPr>
      </w:pPr>
      <w:r>
        <w:rPr>
          <w:rFonts w:ascii="Verdana" w:hAnsi="Verdana"/>
        </w:rPr>
      </w:r>
    </w:p>
    <w:p>
      <w:pPr>
        <w:pStyle w:val="Normal"/>
        <w:rPr>
          <w:rFonts w:ascii="Verdana" w:hAnsi="Verdana"/>
        </w:rPr>
      </w:pPr>
      <w:r>
        <w:rPr>
          <w:rFonts w:ascii="Verdana" w:hAnsi="Verdana"/>
        </w:rPr>
      </w:r>
    </w:p>
    <w:p>
      <w:pPr>
        <w:pStyle w:val="Normal"/>
        <w:rPr>
          <w:rFonts w:ascii="Verdana" w:hAnsi="Verdana"/>
        </w:rPr>
      </w:pPr>
      <w:r>
        <w:rPr>
          <w:rFonts w:ascii="Verdana" w:hAnsi="Verdana"/>
        </w:rPr>
      </w:r>
    </w:p>
    <w:p>
      <w:pPr>
        <w:pStyle w:val="Normal"/>
        <w:rPr>
          <w:rFonts w:ascii="Verdana" w:hAnsi="Verdana"/>
        </w:rPr>
      </w:pPr>
      <w:r>
        <w:rPr>
          <w:rFonts w:ascii="Verdana" w:hAnsi="Verdana"/>
        </w:rPr>
        <w:t xml:space="preserve">Circolare n. </w:t>
      </w:r>
      <w:r>
        <w:rPr>
          <w:rFonts w:ascii="Verdana" w:hAnsi="Verdana"/>
        </w:rPr>
        <w:t>362</w:t>
      </w:r>
    </w:p>
    <w:p>
      <w:pPr>
        <w:pStyle w:val="Normal"/>
        <w:rPr>
          <w:rFonts w:ascii="Verdana" w:hAnsi="Verdana"/>
        </w:rPr>
      </w:pPr>
      <w:r>
        <w:rPr>
          <w:rFonts w:ascii="Verdana" w:hAnsi="Verdana"/>
        </w:rPr>
      </w:r>
    </w:p>
    <w:p>
      <w:pPr>
        <w:pStyle w:val="Normal"/>
        <w:rPr>
          <w:rFonts w:ascii="Verdana" w:hAnsi="Verdana"/>
        </w:rPr>
      </w:pPr>
      <w:r>
        <w:rPr>
          <w:rFonts w:ascii="Verdana" w:hAnsi="Verdana"/>
        </w:rPr>
      </w:r>
    </w:p>
    <w:p>
      <w:pPr>
        <w:pStyle w:val="Normal"/>
        <w:jc w:val="right"/>
        <w:rPr>
          <w:rFonts w:ascii="Verdana" w:hAnsi="Verdana"/>
        </w:rPr>
      </w:pPr>
      <w:r>
        <w:rPr>
          <w:rFonts w:ascii="Verdana" w:hAnsi="Verdana"/>
        </w:rPr>
        <w:t xml:space="preserve">Ai docenti, alle docenti </w:t>
      </w:r>
      <w:r>
        <w:rPr>
          <w:rFonts w:ascii="Verdana" w:hAnsi="Verdana"/>
          <w:i/>
          <w:iCs/>
        </w:rPr>
        <w:t>tutor</w:t>
      </w:r>
      <w:r>
        <w:rPr>
          <w:rFonts w:ascii="Verdana" w:hAnsi="Verdana"/>
        </w:rPr>
        <w:t xml:space="preserve"> e agli alunni delle classi </w:t>
      </w:r>
    </w:p>
    <w:p>
      <w:pPr>
        <w:pStyle w:val="Normal"/>
        <w:jc w:val="right"/>
        <w:rPr>
          <w:rFonts w:ascii="Verdana" w:hAnsi="Verdana"/>
        </w:rPr>
      </w:pPr>
      <w:r>
        <w:rPr>
          <w:rFonts w:ascii="Verdana" w:hAnsi="Verdana"/>
        </w:rPr>
        <w:t>3B, 3C, 3D, 3F, 3G, 4C, 4D, 4F, 4G, 4I</w:t>
      </w:r>
    </w:p>
    <w:p>
      <w:pPr>
        <w:pStyle w:val="Normal"/>
        <w:rPr>
          <w:rFonts w:ascii="Verdana" w:hAnsi="Verdana"/>
        </w:rPr>
      </w:pPr>
      <w:r>
        <w:rPr>
          <w:rFonts w:ascii="Verdana" w:hAnsi="Verdana"/>
        </w:rPr>
      </w:r>
    </w:p>
    <w:p>
      <w:pPr>
        <w:pStyle w:val="Normal"/>
        <w:rPr>
          <w:rFonts w:ascii="Verdana" w:hAnsi="Verdana"/>
        </w:rPr>
      </w:pPr>
      <w:r>
        <w:rPr>
          <w:rFonts w:ascii="Verdana" w:hAnsi="Verdana"/>
        </w:rPr>
      </w:r>
    </w:p>
    <w:p>
      <w:pPr>
        <w:pStyle w:val="NormalWeb"/>
        <w:spacing w:lineRule="auto" w:line="360" w:before="49" w:after="49"/>
        <w:jc w:val="both"/>
        <w:rPr>
          <w:rFonts w:ascii="Verdana" w:hAnsi="Verdana"/>
        </w:rPr>
      </w:pPr>
      <w:r>
        <w:rPr>
          <w:rFonts w:ascii="Verdana" w:hAnsi="Verdana"/>
        </w:rPr>
        <w:t xml:space="preserve">Si comunica che nei giorni 24, 25 e 26 febbraio 2025, dalle ore 9.00 alle ore 13.00, si svolgerà in Aula Magna il percorso PNRR </w:t>
      </w:r>
      <w:r>
        <w:rPr>
          <w:rFonts w:ascii="Verdana" w:hAnsi="Verdana"/>
          <w:b/>
          <w:bCs/>
          <w:i/>
          <w:iCs/>
        </w:rPr>
        <w:t xml:space="preserve">Cura e relazione nella filosofia, </w:t>
      </w:r>
      <w:r>
        <w:rPr>
          <w:rFonts w:ascii="Verdana" w:hAnsi="Verdana"/>
        </w:rPr>
        <w:t xml:space="preserve">organizzato dall’Università degli Studi di Palermo e tenuto dalla prof.ssa Angela Tortorici. </w:t>
      </w:r>
    </w:p>
    <w:p>
      <w:pPr>
        <w:pStyle w:val="NormalWeb"/>
        <w:spacing w:lineRule="auto" w:line="360" w:before="49" w:after="49"/>
        <w:jc w:val="both"/>
        <w:rPr>
          <w:rFonts w:ascii="Verdana" w:hAnsi="Verdana" w:cs="Calibri"/>
          <w:i/>
          <w:i/>
          <w:iCs/>
        </w:rPr>
      </w:pPr>
      <w:r>
        <w:rPr>
          <w:rFonts w:ascii="Verdana" w:hAnsi="Verdana"/>
        </w:rPr>
        <w:t xml:space="preserve">Si tratta di un’attività di orientamento i cui obiettivi sono: </w:t>
      </w:r>
      <w:r>
        <w:rPr>
          <w:rFonts w:cs="Calibri" w:ascii="Verdana" w:hAnsi="Verdana"/>
        </w:rPr>
        <w:t xml:space="preserve">comprendere il concetto di relazione; sviluppare capacità critica attraverso la lettura dei testi e l’analisi di concetti complessi; promuovere la collaborazione attraverso l’attività seminariale; sollecitare lo sviluppo di life skills attraverso la conoscenza reciproca. I contenuti trattati saranno: </w:t>
      </w:r>
      <w:r>
        <w:rPr>
          <w:rFonts w:cs="Calibri" w:ascii="Verdana" w:hAnsi="Verdana"/>
          <w:i/>
          <w:iCs/>
        </w:rPr>
        <w:t>L’importanza della relazione in ambito etico, nello specifico, in etica della cura - Il concetto di relazione come eredità filosofica</w:t>
      </w:r>
      <w:r>
        <w:rPr>
          <w:rFonts w:cs="Calibri" w:ascii="Verdana" w:hAnsi="Verdana"/>
        </w:rPr>
        <w:t xml:space="preserve">. Ciò avverrà tramite l’analisi dei seguenti filosofi/testi: </w:t>
      </w:r>
      <w:r>
        <w:rPr>
          <w:rFonts w:cs="Calibri" w:ascii="Verdana" w:hAnsi="Verdana"/>
          <w:i/>
          <w:iCs/>
        </w:rPr>
        <w:t>Introduzione all’etica della cura: la favola di Igino, la “Cura” e il mito di Crono - Luce Irigaray: il concetto di relazione nella contemporaneità.</w:t>
      </w:r>
    </w:p>
    <w:p>
      <w:pPr>
        <w:pStyle w:val="NormalWeb"/>
        <w:spacing w:lineRule="auto" w:line="360" w:before="49" w:after="49"/>
        <w:jc w:val="both"/>
        <w:rPr>
          <w:rFonts w:ascii="Verdana" w:hAnsi="Verdana" w:cs="Calibri"/>
          <w:i/>
          <w:i/>
          <w:iCs/>
        </w:rPr>
      </w:pPr>
      <w:r>
        <w:rPr>
          <w:rFonts w:ascii="Verdana" w:hAnsi="Verdana"/>
        </w:rPr>
        <w:t>In considerazione della capienza dell’Aula Magna, si rende necessario svolgere gli incontri in modalità mista, secondo la seguente turnazione:</w:t>
      </w:r>
    </w:p>
    <w:p>
      <w:pPr>
        <w:pStyle w:val="ListParagraph"/>
        <w:numPr>
          <w:ilvl w:val="0"/>
          <w:numId w:val="2"/>
        </w:numPr>
        <w:spacing w:lineRule="auto" w:line="360"/>
        <w:jc w:val="both"/>
        <w:rPr>
          <w:rFonts w:ascii="Verdana" w:hAnsi="Verdana"/>
        </w:rPr>
      </w:pPr>
      <w:r>
        <w:rPr>
          <w:rFonts w:ascii="Verdana" w:hAnsi="Verdana"/>
        </w:rPr>
        <w:t>24 febbraio: classi 3B, 3G, 3D, 4F in Aula Magna; le altre classi prenderanno parte all’attività in videoconferenza dalle rispettive classi, attraverso il link Meet che verrà comunicato poco prima dell’inizio dei lavori;</w:t>
      </w:r>
    </w:p>
    <w:p>
      <w:pPr>
        <w:pStyle w:val="ListParagraph"/>
        <w:numPr>
          <w:ilvl w:val="0"/>
          <w:numId w:val="2"/>
        </w:numPr>
        <w:spacing w:lineRule="auto" w:line="360"/>
        <w:jc w:val="both"/>
        <w:rPr>
          <w:rFonts w:ascii="Verdana" w:hAnsi="Verdana"/>
        </w:rPr>
      </w:pPr>
      <w:r>
        <w:rPr>
          <w:rFonts w:ascii="Verdana" w:hAnsi="Verdana"/>
        </w:rPr>
        <w:t>25 febbraio: 3C, 3F, 4D in Aula Magna; le altre classi prenderanno parte all’attività in videoconferenza dalle rispettive classi, attraverso il link Meet che verrà comunicato poco prima dell’inizio dei lavori;</w:t>
      </w:r>
    </w:p>
    <w:p>
      <w:pPr>
        <w:pStyle w:val="ListParagraph"/>
        <w:numPr>
          <w:ilvl w:val="0"/>
          <w:numId w:val="2"/>
        </w:numPr>
        <w:spacing w:lineRule="auto" w:line="360"/>
        <w:jc w:val="both"/>
        <w:rPr>
          <w:rFonts w:ascii="Verdana" w:hAnsi="Verdana"/>
        </w:rPr>
      </w:pPr>
      <w:r>
        <w:rPr>
          <w:rFonts w:ascii="Verdana" w:hAnsi="Verdana"/>
        </w:rPr>
        <w:t>26 febbraio: 4C, 4G, 4I in Aula Magna; le altre classi prenderanno parte all’attività in videoconferenza dalle rispettive classi, attraverso il link Meet che verrà comunicato poco prima dell’inizio dei lavori.</w:t>
      </w:r>
    </w:p>
    <w:p>
      <w:pPr>
        <w:pStyle w:val="Normal"/>
        <w:spacing w:lineRule="auto" w:line="360"/>
        <w:jc w:val="both"/>
        <w:rPr>
          <w:rFonts w:ascii="Verdana" w:hAnsi="Verdana"/>
        </w:rPr>
      </w:pPr>
      <w:r>
        <w:rPr>
          <w:rFonts w:ascii="Verdana" w:hAnsi="Verdana"/>
        </w:rPr>
      </w:r>
    </w:p>
    <w:p>
      <w:pPr>
        <w:pStyle w:val="Normal"/>
        <w:spacing w:lineRule="auto" w:line="360"/>
        <w:jc w:val="both"/>
        <w:rPr>
          <w:rFonts w:ascii="Verdana" w:hAnsi="Verdana"/>
        </w:rPr>
      </w:pPr>
      <w:r>
        <w:rPr>
          <w:rFonts w:ascii="Verdana" w:hAnsi="Verdana"/>
        </w:rPr>
        <w:t xml:space="preserve">Nei giorni in cui l’attività si svolgerà in presenza, le classi del plesso S. Cuore si recheranno in Aula Magna accompagnati dal docente della prima ora e, al termine dell’attività, rientreranno presso la propria sede accompagnati dal docente della sesta ora. Gli alunni della classe 3G, lunedì 24 febbraio, si recheranno direttamente nella sede di via G. Falcone 20 e svolgeranno la prima  ora di lezione in Biblioteca. </w:t>
      </w:r>
      <w:r>
        <w:rPr>
          <w:rFonts w:ascii="Verdana" w:hAnsi="Verdana"/>
          <w:u w:val="single"/>
        </w:rPr>
        <w:t>La classe 3G verrà licenziata alle 13,00.</w:t>
      </w:r>
    </w:p>
    <w:p>
      <w:pPr>
        <w:pStyle w:val="Normal"/>
        <w:spacing w:lineRule="auto" w:line="360"/>
        <w:jc w:val="both"/>
        <w:rPr>
          <w:rFonts w:ascii="Verdana" w:hAnsi="Verdana"/>
          <w:b/>
          <w:b/>
          <w:bCs/>
        </w:rPr>
      </w:pPr>
      <w:r>
        <w:rPr>
          <w:rFonts w:ascii="Verdana" w:hAnsi="Verdana"/>
          <w:b/>
          <w:bCs/>
        </w:rPr>
        <w:t xml:space="preserve">Per l’attività saranno riconosciute 12 ore di Orientamento, che i docenti avranno cura di registrare e documentare nel RE. Le docenti </w:t>
      </w:r>
      <w:r>
        <w:rPr>
          <w:rFonts w:ascii="Verdana" w:hAnsi="Verdana"/>
          <w:b/>
          <w:bCs/>
          <w:i/>
          <w:iCs/>
        </w:rPr>
        <w:t xml:space="preserve">tutor, </w:t>
      </w:r>
      <w:r>
        <w:rPr>
          <w:rFonts w:ascii="Verdana" w:hAnsi="Verdana"/>
          <w:b/>
          <w:bCs/>
        </w:rPr>
        <w:t>nelle ore disponibili, prenderanno parte e monitoreranno i lavori.</w:t>
      </w:r>
    </w:p>
    <w:p>
      <w:pPr>
        <w:pStyle w:val="Normal"/>
        <w:spacing w:lineRule="auto" w:line="360"/>
        <w:jc w:val="both"/>
        <w:rPr>
          <w:rFonts w:ascii="Verdana" w:hAnsi="Verdana"/>
        </w:rPr>
      </w:pPr>
      <w:r>
        <w:rPr>
          <w:rFonts w:ascii="Verdana" w:hAnsi="Verdana"/>
        </w:rPr>
        <w:t>Successivamente gli studenti partecipanti completeranno il suddetto percorso, svolgendo 3 ore di orientamento con il COT di UniPa.</w:t>
      </w:r>
    </w:p>
    <w:p>
      <w:pPr>
        <w:pStyle w:val="Normal"/>
        <w:spacing w:lineRule="auto" w:line="360"/>
        <w:rPr>
          <w:rFonts w:ascii="Verdana" w:hAnsi="Verdana"/>
        </w:rPr>
      </w:pPr>
      <w:r>
        <w:rPr>
          <w:rFonts w:ascii="Verdana" w:hAnsi="Verdana"/>
        </w:rPr>
      </w:r>
    </w:p>
    <w:p>
      <w:pPr>
        <w:pStyle w:val="Normal"/>
        <w:spacing w:lineRule="auto" w:line="360"/>
        <w:rPr>
          <w:rFonts w:ascii="Verdana" w:hAnsi="Verdana"/>
        </w:rPr>
      </w:pPr>
      <w:r>
        <w:rPr>
          <w:rFonts w:ascii="Verdana" w:hAnsi="Verdana"/>
        </w:rPr>
        <w:t>Marsala, 2</w:t>
      </w:r>
      <w:r>
        <w:rPr>
          <w:rFonts w:ascii="Verdana" w:hAnsi="Verdana"/>
        </w:rPr>
        <w:t>2</w:t>
      </w:r>
      <w:r>
        <w:rPr>
          <w:rFonts w:ascii="Verdana" w:hAnsi="Verdana"/>
        </w:rPr>
        <w:t>/02/2025</w:t>
      </w:r>
    </w:p>
    <w:p>
      <w:pPr>
        <w:pStyle w:val="Normal"/>
        <w:spacing w:lineRule="auto" w:line="360"/>
        <w:rPr>
          <w:rFonts w:ascii="Verdana" w:hAnsi="Verdana"/>
        </w:rPr>
      </w:pPr>
      <w:r>
        <w:rPr>
          <w:rFonts w:ascii="Verdana" w:hAnsi="Verdana"/>
        </w:rPr>
      </w:r>
    </w:p>
    <w:p>
      <w:pPr>
        <w:pStyle w:val="Normal"/>
        <w:spacing w:lineRule="auto" w:line="360"/>
        <w:rPr>
          <w:rFonts w:ascii="Verdana" w:hAnsi="Verdana"/>
        </w:rPr>
      </w:pPr>
      <w:r>
        <w:rPr>
          <w:rFonts w:ascii="Verdana" w:hAnsi="Verdana"/>
        </w:rPr>
      </w:r>
    </w:p>
    <w:p>
      <w:pPr>
        <w:pStyle w:val="Normal"/>
        <w:spacing w:lineRule="auto" w:line="360"/>
        <w:rPr>
          <w:rFonts w:ascii="Verdana" w:hAnsi="Verdana"/>
        </w:rPr>
      </w:pPr>
      <w:r>
        <w:rPr>
          <w:rFonts w:ascii="Verdana" w:hAnsi="Verdana"/>
        </w:rPr>
      </w:r>
    </w:p>
    <w:p>
      <w:pPr>
        <w:pStyle w:val="Normal"/>
        <w:spacing w:lineRule="auto" w:line="360"/>
        <w:rPr>
          <w:rFonts w:ascii="Verdana" w:hAnsi="Verdana"/>
        </w:rPr>
      </w:pPr>
      <w:r>
        <w:rPr>
          <w:rFonts w:ascii="Verdana" w:hAnsi="Verdana"/>
        </w:rPr>
        <w:t xml:space="preserve">Il docente orientatore                                      La FS Orientamento e PCTO                                                                        </w:t>
      </w:r>
    </w:p>
    <w:p>
      <w:pPr>
        <w:pStyle w:val="Normal"/>
        <w:spacing w:lineRule="auto" w:line="360"/>
        <w:rPr>
          <w:rFonts w:ascii="Verdana" w:hAnsi="Verdana"/>
        </w:rPr>
      </w:pPr>
      <w:r>
        <w:rPr>
          <w:rFonts w:ascii="Verdana" w:hAnsi="Verdana"/>
        </w:rPr>
        <w:t xml:space="preserve">Prof.ssa Palermo Francesca                                 Prof.ssa Tantaro Antonia                                                                 </w:t>
      </w:r>
    </w:p>
    <w:p>
      <w:pPr>
        <w:pStyle w:val="Normal"/>
        <w:spacing w:lineRule="auto" w:line="360"/>
        <w:jc w:val="center"/>
        <w:rPr>
          <w:rFonts w:ascii="Verdana" w:hAnsi="Verdana"/>
        </w:rPr>
      </w:pPr>
      <w:r>
        <w:rPr>
          <w:rFonts w:ascii="Verdana" w:hAnsi="Verdana"/>
        </w:rPr>
      </w:r>
    </w:p>
    <w:p>
      <w:pPr>
        <w:pStyle w:val="Normal"/>
        <w:spacing w:lineRule="auto" w:line="360"/>
        <w:jc w:val="center"/>
        <w:rPr>
          <w:rFonts w:ascii="Verdana" w:hAnsi="Verdana"/>
        </w:rPr>
      </w:pPr>
      <w:r>
        <w:rPr>
          <w:rFonts w:ascii="Verdana" w:hAnsi="Verdana"/>
        </w:rPr>
        <w:t>La Dirigente scolastica</w:t>
      </w:r>
    </w:p>
    <w:p>
      <w:pPr>
        <w:pStyle w:val="Normal"/>
        <w:spacing w:lineRule="auto" w:line="360"/>
        <w:jc w:val="center"/>
        <w:rPr>
          <w:rFonts w:ascii="Verdana" w:hAnsi="Verdana"/>
        </w:rPr>
      </w:pPr>
      <w:r>
        <w:rPr>
          <w:rFonts w:ascii="Verdana" w:hAnsi="Verdana"/>
        </w:rPr>
        <w:t>Prof.ssa Angileri Anna Maria</w:t>
      </w:r>
    </w:p>
    <w:p>
      <w:pPr>
        <w:pStyle w:val="Normal"/>
        <w:jc w:val="right"/>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25c2"/>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ListParagraph">
    <w:name w:val="List Paragraph"/>
    <w:basedOn w:val="Normal"/>
    <w:uiPriority w:val="34"/>
    <w:qFormat/>
    <w:rsid w:val="00f825c2"/>
    <w:pPr>
      <w:spacing w:before="0" w:after="0"/>
      <w:ind w:left="720" w:hanging="0"/>
      <w:contextualSpacing/>
    </w:pPr>
    <w:rPr/>
  </w:style>
  <w:style w:type="paragraph" w:styleId="NormalWeb">
    <w:name w:val="Normal (Web)"/>
    <w:basedOn w:val="Normal"/>
    <w:uiPriority w:val="99"/>
    <w:unhideWhenUsed/>
    <w:qFormat/>
    <w:rsid w:val="0006222e"/>
    <w:pPr>
      <w:spacing w:beforeAutospacing="1" w:afterAutospacing="1"/>
    </w:pPr>
    <w:rPr>
      <w:rFonts w:ascii="Times New Roman" w:hAnsi="Times New Roman" w:eastAsia="Times New Roman" w:cs="Times New Roman"/>
      <w:kern w:val="0"/>
      <w:lang w:eastAsia="it-IT"/>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LibreOffice/7.4.1.2$Windows_X86_64 LibreOffice_project/3c58a8f3a960df8bc8fd77b461821e42c061c5f0</Application>
  <AppVersion>15.0000</AppVersion>
  <Pages>2</Pages>
  <Words>458</Words>
  <Characters>2607</Characters>
  <CharactersWithSpaces>3253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2025-02-22T09:57:00Z</dcterms:created>
  <dc:creator>francespaler@gmail.com</dc:creator>
  <dc:description/>
  <dc:language>it-IT</dc:language>
  <cp:lastModifiedBy/>
  <dcterms:modified xsi:type="dcterms:W3CDTF">2025-02-22T11:03:16Z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